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7" w:type="dxa"/>
        <w:tblInd w:w="44" w:type="dxa"/>
        <w:tblLayout w:type="fixed"/>
        <w:tblCellMar>
          <w:top w:w="55" w:type="dxa"/>
          <w:left w:w="55" w:type="dxa"/>
          <w:bottom w:w="55" w:type="dxa"/>
          <w:right w:w="55" w:type="dxa"/>
        </w:tblCellMar>
        <w:tblLook w:val="0000" w:firstRow="0" w:lastRow="0" w:firstColumn="0" w:lastColumn="0" w:noHBand="0" w:noVBand="0"/>
      </w:tblPr>
      <w:tblGrid>
        <w:gridCol w:w="1361"/>
        <w:gridCol w:w="6305"/>
        <w:gridCol w:w="2311"/>
      </w:tblGrid>
      <w:tr w:rsidR="00BD296A" w:rsidTr="00AC3E69">
        <w:trPr>
          <w:cantSplit/>
          <w:trHeight w:val="1134"/>
        </w:trPr>
        <w:tc>
          <w:tcPr>
            <w:tcW w:w="1361" w:type="dxa"/>
            <w:shd w:val="clear" w:color="auto" w:fill="9A0000"/>
            <w:textDirection w:val="btLr"/>
            <w:vAlign w:val="center"/>
          </w:tcPr>
          <w:p w:rsidR="00BD296A" w:rsidRPr="00AC3E69" w:rsidRDefault="00BD296A" w:rsidP="00005653">
            <w:pPr>
              <w:pStyle w:val="Contenudetableau"/>
              <w:ind w:left="113" w:right="113"/>
              <w:jc w:val="center"/>
              <w:rPr>
                <w:rFonts w:ascii="DejaVu Sans" w:hAnsi="DejaVu Sans" w:cs="DejaVu Sans"/>
                <w:color w:val="FFFFFF"/>
                <w:sz w:val="32"/>
                <w:szCs w:val="32"/>
              </w:rPr>
            </w:pPr>
            <w:r w:rsidRPr="00AC3E69">
              <w:rPr>
                <w:rFonts w:ascii="DejaVu Sans" w:hAnsi="DejaVu Sans" w:cs="DejaVu Sans"/>
                <w:b/>
                <w:bCs/>
                <w:color w:val="EAFDE6"/>
              </w:rPr>
              <w:t>Économie-Gestion</w:t>
            </w:r>
          </w:p>
        </w:tc>
        <w:tc>
          <w:tcPr>
            <w:tcW w:w="6305" w:type="dxa"/>
            <w:shd w:val="clear" w:color="auto" w:fill="9A0000"/>
          </w:tcPr>
          <w:p w:rsidR="00AC3E69" w:rsidRPr="00AC3E69" w:rsidRDefault="00BD296A" w:rsidP="004B5F32">
            <w:pPr>
              <w:pStyle w:val="Titre1"/>
            </w:pPr>
            <w:r w:rsidRPr="00AC3E69">
              <w:t>Travaux Académiques Mutualisés</w:t>
            </w:r>
          </w:p>
          <w:p w:rsidR="00BD296A" w:rsidRPr="00AC3E69" w:rsidRDefault="001003A6" w:rsidP="00005653">
            <w:pPr>
              <w:pStyle w:val="Titre1"/>
              <w:ind w:left="0" w:firstLine="0"/>
              <w:jc w:val="center"/>
              <w:rPr>
                <w:rFonts w:ascii="DejaVu Sans" w:hAnsi="DejaVu Sans" w:cs="DejaVu Sans"/>
                <w:color w:val="FFFFFF"/>
              </w:rPr>
            </w:pPr>
            <w:r>
              <w:rPr>
                <w:rFonts w:ascii="DejaVu Sans" w:hAnsi="DejaVu Sans" w:cs="DejaVu Sans"/>
                <w:color w:val="FFFFFF"/>
              </w:rPr>
              <w:t>2016 – 2017</w:t>
            </w:r>
          </w:p>
          <w:p w:rsidR="00BD296A" w:rsidRPr="00AC3E69" w:rsidRDefault="001003A6" w:rsidP="00005653">
            <w:pPr>
              <w:pStyle w:val="Corpsdetexte"/>
              <w:jc w:val="center"/>
              <w:rPr>
                <w:rFonts w:ascii="DejaVu Sans" w:hAnsi="DejaVu Sans" w:cs="DejaVu Sans"/>
                <w:color w:val="FFFFFF"/>
                <w:sz w:val="32"/>
                <w:szCs w:val="32"/>
              </w:rPr>
            </w:pPr>
            <w:r>
              <w:rPr>
                <w:rFonts w:ascii="DejaVu Sans" w:hAnsi="DejaVu Sans" w:cs="DejaVu Sans"/>
                <w:b/>
                <w:bCs/>
                <w:color w:val="FFFFFF"/>
                <w:sz w:val="32"/>
                <w:szCs w:val="32"/>
              </w:rPr>
              <w:t>Mars 2017</w:t>
            </w:r>
          </w:p>
          <w:p w:rsidR="00BD296A" w:rsidRDefault="00BD296A" w:rsidP="00005653">
            <w:pPr>
              <w:pStyle w:val="Titre1"/>
              <w:ind w:left="0" w:firstLine="0"/>
              <w:jc w:val="center"/>
              <w:rPr>
                <w:rFonts w:ascii="Verdana" w:hAnsi="Verdana"/>
                <w:color w:val="554236"/>
                <w:sz w:val="20"/>
                <w:szCs w:val="20"/>
              </w:rPr>
            </w:pPr>
            <w:r w:rsidRPr="00AC3E69">
              <w:rPr>
                <w:rFonts w:ascii="DejaVu Sans" w:hAnsi="DejaVu Sans" w:cs="DejaVu Sans"/>
                <w:color w:val="FFFFFF"/>
              </w:rPr>
              <w:t>Académie de</w:t>
            </w:r>
            <w:r>
              <w:rPr>
                <w:rFonts w:ascii="Verdana" w:hAnsi="Verdana"/>
                <w:color w:val="FFFFFF"/>
              </w:rPr>
              <w:t xml:space="preserve"> </w:t>
            </w:r>
            <w:r w:rsidR="00E630B3">
              <w:rPr>
                <w:rFonts w:ascii="Verdana" w:hAnsi="Verdana"/>
                <w:color w:val="FFFFFF"/>
              </w:rPr>
              <w:t>Créteil</w:t>
            </w:r>
          </w:p>
        </w:tc>
        <w:tc>
          <w:tcPr>
            <w:tcW w:w="2311" w:type="dxa"/>
            <w:shd w:val="clear" w:color="auto" w:fill="9A0000"/>
            <w:vAlign w:val="center"/>
          </w:tcPr>
          <w:p w:rsidR="00BD296A" w:rsidRDefault="009C39B9" w:rsidP="00005653">
            <w:pPr>
              <w:pStyle w:val="Corpsdetexte"/>
              <w:spacing w:after="0"/>
              <w:jc w:val="center"/>
              <w:rPr>
                <w:rFonts w:ascii="Verdana" w:hAnsi="Verdana"/>
                <w:b/>
                <w:color w:val="554236"/>
                <w:sz w:val="20"/>
                <w:szCs w:val="20"/>
              </w:rPr>
            </w:pPr>
            <w:r w:rsidRPr="004B5F32">
              <w:rPr>
                <w:rFonts w:ascii="DejaVu Sans" w:hAnsi="DejaVu Sans" w:cs="DejaVu Sans"/>
                <w:noProof/>
                <w:color w:val="FFFFFF"/>
                <w:lang w:eastAsia="fr-FR" w:bidi="ar-SA"/>
              </w:rPr>
              <w:drawing>
                <wp:anchor distT="0" distB="0" distL="114300" distR="114300" simplePos="0" relativeHeight="251659264" behindDoc="0" locked="0" layoutInCell="1" allowOverlap="1" wp14:anchorId="518977C1" wp14:editId="1CE1B196">
                  <wp:simplePos x="0" y="0"/>
                  <wp:positionH relativeFrom="column">
                    <wp:posOffset>-35560</wp:posOffset>
                  </wp:positionH>
                  <wp:positionV relativeFrom="paragraph">
                    <wp:posOffset>-346710</wp:posOffset>
                  </wp:positionV>
                  <wp:extent cx="1377950" cy="375920"/>
                  <wp:effectExtent l="0" t="0" r="0" b="5080"/>
                  <wp:wrapTopAndBottom/>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1377950" cy="375920"/>
                          </a:xfrm>
                          <a:prstGeom prst="rect">
                            <a:avLst/>
                          </a:prstGeom>
                        </pic:spPr>
                      </pic:pic>
                    </a:graphicData>
                  </a:graphic>
                  <wp14:sizeRelH relativeFrom="margin">
                    <wp14:pctWidth>0</wp14:pctWidth>
                  </wp14:sizeRelH>
                  <wp14:sizeRelV relativeFrom="margin">
                    <wp14:pctHeight>0</wp14:pctHeight>
                  </wp14:sizeRelV>
                </wp:anchor>
              </w:drawing>
            </w:r>
          </w:p>
          <w:p w:rsidR="00BD296A" w:rsidRDefault="00BD296A" w:rsidP="005D3A6F">
            <w:pPr>
              <w:pStyle w:val="Corpsdetexte"/>
              <w:spacing w:after="0"/>
              <w:jc w:val="center"/>
              <w:rPr>
                <w:rFonts w:ascii="Verdana" w:hAnsi="Verdana"/>
                <w:b/>
                <w:color w:val="CC333F"/>
                <w:sz w:val="20"/>
                <w:szCs w:val="20"/>
              </w:rPr>
            </w:pPr>
            <w:r w:rsidRPr="00AC3E69">
              <w:rPr>
                <w:rFonts w:ascii="DejaVu Sans" w:hAnsi="DejaVu Sans" w:cs="DejaVu Sans"/>
                <w:b/>
                <w:color w:val="FFFFFF" w:themeColor="background1"/>
                <w:sz w:val="20"/>
                <w:szCs w:val="20"/>
              </w:rPr>
              <w:t xml:space="preserve">Thème 1 : </w:t>
            </w:r>
            <w:r w:rsidR="0076454D">
              <w:rPr>
                <w:rFonts w:ascii="DejaVu Sans" w:hAnsi="DejaVu Sans" w:cs="DejaVu Sans"/>
                <w:b/>
                <w:color w:val="FFFFFF" w:themeColor="background1"/>
                <w:sz w:val="20"/>
                <w:szCs w:val="20"/>
              </w:rPr>
              <w:t xml:space="preserve">EMI, produire un média à partir d’une veille </w:t>
            </w:r>
            <w:r w:rsidR="001003A6">
              <w:rPr>
                <w:rFonts w:ascii="DejaVu Sans" w:hAnsi="DejaVu Sans" w:cs="DejaVu Sans"/>
                <w:b/>
                <w:color w:val="FFFFFF" w:themeColor="background1"/>
                <w:sz w:val="20"/>
                <w:szCs w:val="20"/>
              </w:rPr>
              <w:t>informationnelle</w:t>
            </w:r>
          </w:p>
        </w:tc>
      </w:tr>
    </w:tbl>
    <w:p w:rsidR="00BD296A" w:rsidRPr="00AC3E69" w:rsidRDefault="00BD296A" w:rsidP="00BD296A">
      <w:pPr>
        <w:rPr>
          <w:rFonts w:ascii="Verdana" w:hAnsi="Verdana"/>
        </w:rPr>
      </w:pPr>
    </w:p>
    <w:p w:rsidR="00BD296A" w:rsidRPr="00AC3E69" w:rsidRDefault="00BD296A" w:rsidP="00BD296A">
      <w:pPr>
        <w:pStyle w:val="Contenudetableau"/>
        <w:numPr>
          <w:ilvl w:val="0"/>
          <w:numId w:val="2"/>
        </w:numPr>
        <w:jc w:val="both"/>
        <w:rPr>
          <w:rFonts w:ascii="Verdana" w:hAnsi="Verdana"/>
          <w:sz w:val="22"/>
          <w:szCs w:val="22"/>
        </w:rPr>
      </w:pPr>
      <w:r w:rsidRPr="00AC3E69">
        <w:rPr>
          <w:rFonts w:ascii="Verdana" w:hAnsi="Verdana"/>
          <w:b/>
          <w:bCs/>
        </w:rPr>
        <w:t>Nom du professeur référent</w:t>
      </w:r>
      <w:r w:rsidRPr="00AC3E69">
        <w:rPr>
          <w:rFonts w:ascii="Verdana" w:hAnsi="Verdana"/>
        </w:rPr>
        <w:t xml:space="preserve"> :</w:t>
      </w:r>
      <w:r w:rsidRPr="00AC3E69">
        <w:rPr>
          <w:rFonts w:ascii="Verdana" w:hAnsi="Verdana"/>
          <w:sz w:val="22"/>
          <w:szCs w:val="22"/>
        </w:rPr>
        <w:t xml:space="preserve"> </w:t>
      </w:r>
      <w:r w:rsidR="00A618AB">
        <w:rPr>
          <w:rFonts w:ascii="Verdana" w:hAnsi="Verdana"/>
          <w:sz w:val="22"/>
          <w:szCs w:val="22"/>
        </w:rPr>
        <w:t>Ghemri Syham</w:t>
      </w:r>
      <w:r w:rsidR="00A618AB">
        <w:rPr>
          <w:rFonts w:ascii="Verdana" w:hAnsi="Verdana"/>
          <w:sz w:val="22"/>
          <w:szCs w:val="22"/>
        </w:rPr>
        <w:tab/>
      </w:r>
      <w:r w:rsidR="00A618AB">
        <w:rPr>
          <w:rFonts w:ascii="Verdana" w:hAnsi="Verdana"/>
          <w:sz w:val="22"/>
          <w:szCs w:val="22"/>
        </w:rPr>
        <w:tab/>
      </w:r>
    </w:p>
    <w:p w:rsidR="00BD296A" w:rsidRPr="00AC3E69" w:rsidRDefault="00BD296A" w:rsidP="00BD296A">
      <w:pPr>
        <w:pStyle w:val="Contenudetableau"/>
        <w:jc w:val="both"/>
        <w:rPr>
          <w:rFonts w:ascii="Verdana" w:hAnsi="Verdana"/>
          <w:sz w:val="22"/>
          <w:szCs w:val="22"/>
        </w:rPr>
      </w:pPr>
    </w:p>
    <w:p w:rsidR="00BD296A" w:rsidRPr="00AC3E69" w:rsidRDefault="00BD296A" w:rsidP="00BD296A">
      <w:pPr>
        <w:pStyle w:val="Contenudetableau"/>
        <w:numPr>
          <w:ilvl w:val="0"/>
          <w:numId w:val="2"/>
        </w:numPr>
        <w:jc w:val="both"/>
        <w:rPr>
          <w:rFonts w:ascii="Verdana" w:hAnsi="Verdana"/>
          <w:sz w:val="22"/>
          <w:szCs w:val="22"/>
        </w:rPr>
      </w:pPr>
      <w:r w:rsidRPr="00AC3E69">
        <w:rPr>
          <w:rFonts w:ascii="Verdana" w:hAnsi="Verdana"/>
          <w:b/>
          <w:bCs/>
        </w:rPr>
        <w:t>Nom de l'IA-IPR référent</w:t>
      </w:r>
      <w:r w:rsidRPr="00AC3E69">
        <w:rPr>
          <w:rFonts w:ascii="Verdana" w:hAnsi="Verdana"/>
        </w:rPr>
        <w:t xml:space="preserve"> :</w:t>
      </w:r>
      <w:r w:rsidR="00E630B3">
        <w:rPr>
          <w:rFonts w:ascii="Verdana" w:hAnsi="Verdana"/>
        </w:rPr>
        <w:t xml:space="preserve"> Rozenn </w:t>
      </w:r>
      <w:proofErr w:type="spellStart"/>
      <w:r w:rsidR="00E630B3">
        <w:rPr>
          <w:rFonts w:ascii="Verdana" w:hAnsi="Verdana"/>
        </w:rPr>
        <w:t>Dagorn</w:t>
      </w:r>
      <w:proofErr w:type="spellEnd"/>
    </w:p>
    <w:p w:rsidR="00BD296A" w:rsidRPr="00AC3E69" w:rsidRDefault="00BD296A" w:rsidP="00BD296A">
      <w:pPr>
        <w:pStyle w:val="Contenudetableau"/>
        <w:jc w:val="both"/>
        <w:rPr>
          <w:rFonts w:ascii="Verdana" w:hAnsi="Verdana"/>
          <w:sz w:val="22"/>
          <w:szCs w:val="22"/>
        </w:rPr>
      </w:pPr>
    </w:p>
    <w:p w:rsidR="00BD296A" w:rsidRPr="00AC3E69" w:rsidRDefault="00BD296A" w:rsidP="00BD296A">
      <w:pPr>
        <w:pStyle w:val="Contenudetableau"/>
        <w:numPr>
          <w:ilvl w:val="0"/>
          <w:numId w:val="2"/>
        </w:numPr>
        <w:jc w:val="both"/>
        <w:rPr>
          <w:rFonts w:ascii="Verdana" w:hAnsi="Verdana"/>
          <w:sz w:val="22"/>
          <w:szCs w:val="22"/>
        </w:rPr>
      </w:pPr>
      <w:r w:rsidRPr="00AC3E69">
        <w:rPr>
          <w:rFonts w:ascii="Verdana" w:hAnsi="Verdana"/>
          <w:b/>
          <w:bCs/>
        </w:rPr>
        <w:t>Composition du groupe de travail</w:t>
      </w:r>
      <w:r w:rsidRPr="00AC3E69">
        <w:rPr>
          <w:rFonts w:ascii="Verdana" w:hAnsi="Verdana"/>
        </w:rPr>
        <w:t xml:space="preserve"> :</w:t>
      </w:r>
    </w:p>
    <w:p w:rsidR="00BD296A" w:rsidRPr="00AC3E69" w:rsidRDefault="00BD296A" w:rsidP="00BD296A">
      <w:pPr>
        <w:pStyle w:val="Contenudetableau"/>
        <w:jc w:val="both"/>
        <w:rPr>
          <w:rFonts w:ascii="Verdana" w:hAnsi="Verdan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AC3E69" w:rsidRPr="00AC3E69" w:rsidTr="00AC3E69">
        <w:tc>
          <w:tcPr>
            <w:tcW w:w="4818" w:type="dxa"/>
            <w:tcBorders>
              <w:top w:val="single" w:sz="4" w:space="0" w:color="auto"/>
              <w:left w:val="single" w:sz="4" w:space="0" w:color="auto"/>
              <w:bottom w:val="single" w:sz="4" w:space="0" w:color="auto"/>
              <w:right w:val="single" w:sz="4" w:space="0" w:color="auto"/>
            </w:tcBorders>
            <w:shd w:val="clear" w:color="auto" w:fill="BDB5B5" w:themeFill="accent5" w:themeFillTint="99"/>
          </w:tcPr>
          <w:p w:rsidR="00BD296A" w:rsidRPr="00AC3E69" w:rsidRDefault="00BD296A" w:rsidP="00005653">
            <w:pPr>
              <w:pStyle w:val="Contenudetableau"/>
              <w:jc w:val="center"/>
              <w:rPr>
                <w:rFonts w:ascii="Verdana" w:hAnsi="Verdana"/>
                <w:b/>
                <w:bCs/>
              </w:rPr>
            </w:pPr>
            <w:r w:rsidRPr="00AC3E69">
              <w:rPr>
                <w:rFonts w:ascii="Verdana" w:hAnsi="Verdana"/>
                <w:b/>
                <w:bCs/>
              </w:rPr>
              <w:t>Nom</w:t>
            </w:r>
          </w:p>
        </w:tc>
        <w:tc>
          <w:tcPr>
            <w:tcW w:w="4820" w:type="dxa"/>
            <w:tcBorders>
              <w:top w:val="single" w:sz="4" w:space="0" w:color="auto"/>
              <w:left w:val="single" w:sz="4" w:space="0" w:color="auto"/>
              <w:bottom w:val="single" w:sz="4" w:space="0" w:color="auto"/>
              <w:right w:val="single" w:sz="4" w:space="0" w:color="auto"/>
            </w:tcBorders>
            <w:shd w:val="clear" w:color="auto" w:fill="BDB5B5" w:themeFill="accent5" w:themeFillTint="99"/>
          </w:tcPr>
          <w:p w:rsidR="00BD296A" w:rsidRPr="00AC3E69" w:rsidRDefault="00BD296A" w:rsidP="00005653">
            <w:pPr>
              <w:pStyle w:val="Contenudetableau"/>
              <w:jc w:val="center"/>
              <w:rPr>
                <w:rFonts w:ascii="Verdana" w:hAnsi="Verdana"/>
              </w:rPr>
            </w:pPr>
            <w:r w:rsidRPr="00AC3E69">
              <w:rPr>
                <w:rFonts w:ascii="Verdana" w:hAnsi="Verdana"/>
                <w:b/>
                <w:bCs/>
              </w:rPr>
              <w:t>Fonction</w:t>
            </w:r>
          </w:p>
        </w:tc>
      </w:tr>
      <w:tr w:rsidR="00AC3E69" w:rsidRPr="00AC3E69" w:rsidTr="00F058DC">
        <w:tc>
          <w:tcPr>
            <w:tcW w:w="4818"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r>
              <w:rPr>
                <w:rFonts w:ascii="Verdana" w:hAnsi="Verdana"/>
              </w:rPr>
              <w:t>Ghemri Syham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r>
              <w:rPr>
                <w:rFonts w:ascii="Verdana" w:hAnsi="Verdana"/>
              </w:rPr>
              <w:t>Professeure d’Economie-Gestion</w:t>
            </w:r>
          </w:p>
        </w:tc>
      </w:tr>
      <w:tr w:rsidR="00AC3E69" w:rsidRPr="00AC3E69" w:rsidTr="00F058DC">
        <w:tc>
          <w:tcPr>
            <w:tcW w:w="4818"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proofErr w:type="spellStart"/>
            <w:r>
              <w:rPr>
                <w:rFonts w:ascii="Verdana" w:hAnsi="Verdana"/>
              </w:rPr>
              <w:t>Sapet</w:t>
            </w:r>
            <w:proofErr w:type="spellEnd"/>
            <w:r>
              <w:rPr>
                <w:rFonts w:ascii="Verdana" w:hAnsi="Verdana"/>
              </w:rPr>
              <w:t xml:space="preserve"> Jean-Marie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r>
              <w:rPr>
                <w:rFonts w:ascii="Verdana" w:hAnsi="Verdana"/>
              </w:rPr>
              <w:t>Professeur de lettre</w:t>
            </w:r>
            <w:r w:rsidR="00202FE3">
              <w:rPr>
                <w:rFonts w:ascii="Verdana" w:hAnsi="Verdana"/>
              </w:rPr>
              <w:t>s classiques</w:t>
            </w:r>
          </w:p>
        </w:tc>
      </w:tr>
      <w:tr w:rsidR="00AC3E69" w:rsidRPr="00AC3E69" w:rsidTr="00F058DC">
        <w:tc>
          <w:tcPr>
            <w:tcW w:w="4818"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proofErr w:type="spellStart"/>
            <w:r>
              <w:rPr>
                <w:rFonts w:ascii="Verdana" w:hAnsi="Verdana"/>
              </w:rPr>
              <w:t>Sittler</w:t>
            </w:r>
            <w:proofErr w:type="spellEnd"/>
            <w:r>
              <w:rPr>
                <w:rFonts w:ascii="Verdana" w:hAnsi="Verdana"/>
              </w:rPr>
              <w:t xml:space="preserve"> Isabelle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r>
              <w:rPr>
                <w:rFonts w:ascii="Verdana" w:hAnsi="Verdana"/>
              </w:rPr>
              <w:t xml:space="preserve">Professeure en BTS commerce International </w:t>
            </w:r>
          </w:p>
        </w:tc>
      </w:tr>
      <w:tr w:rsidR="00AC3E69" w:rsidRPr="00AC3E69" w:rsidTr="00F058DC">
        <w:tc>
          <w:tcPr>
            <w:tcW w:w="4818"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proofErr w:type="spellStart"/>
            <w:r>
              <w:rPr>
                <w:rFonts w:ascii="Verdana" w:hAnsi="Verdana"/>
              </w:rPr>
              <w:t>Biangonga</w:t>
            </w:r>
            <w:proofErr w:type="spellEnd"/>
            <w:r>
              <w:rPr>
                <w:rFonts w:ascii="Verdana" w:hAnsi="Verdana"/>
              </w:rPr>
              <w:t xml:space="preserve"> Aymeric</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r>
              <w:rPr>
                <w:rFonts w:ascii="Verdana" w:hAnsi="Verdana"/>
              </w:rPr>
              <w:t xml:space="preserve">Professeur de SES </w:t>
            </w:r>
          </w:p>
        </w:tc>
      </w:tr>
      <w:tr w:rsidR="00AC3E69" w:rsidRPr="00AC3E69" w:rsidTr="00005653">
        <w:tc>
          <w:tcPr>
            <w:tcW w:w="4818"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proofErr w:type="spellStart"/>
            <w:r>
              <w:rPr>
                <w:rFonts w:ascii="Verdana" w:hAnsi="Verdana"/>
              </w:rPr>
              <w:t>Olhagaray</w:t>
            </w:r>
            <w:proofErr w:type="spellEnd"/>
            <w:r>
              <w:rPr>
                <w:rFonts w:ascii="Verdana" w:hAnsi="Verdana"/>
              </w:rPr>
              <w:t xml:space="preserve"> Françoise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D296A" w:rsidRPr="00AC3E69" w:rsidRDefault="00E630B3" w:rsidP="00005653">
            <w:pPr>
              <w:pStyle w:val="Contenudetableau"/>
              <w:jc w:val="both"/>
              <w:rPr>
                <w:rFonts w:ascii="Verdana" w:hAnsi="Verdana"/>
              </w:rPr>
            </w:pPr>
            <w:r>
              <w:rPr>
                <w:rFonts w:ascii="Verdana" w:hAnsi="Verdana"/>
              </w:rPr>
              <w:t>Professeure documentaliste</w:t>
            </w:r>
          </w:p>
        </w:tc>
      </w:tr>
    </w:tbl>
    <w:p w:rsidR="00BD296A" w:rsidRPr="00AC3E69" w:rsidRDefault="00BD296A" w:rsidP="00BD296A">
      <w:pPr>
        <w:pStyle w:val="Contenudetableau"/>
        <w:jc w:val="both"/>
        <w:rPr>
          <w:rFonts w:ascii="Verdana" w:hAnsi="Verdana"/>
          <w:sz w:val="22"/>
          <w:szCs w:val="22"/>
        </w:rPr>
      </w:pPr>
    </w:p>
    <w:p w:rsidR="00BD296A" w:rsidRPr="00AC3E69" w:rsidRDefault="00BD296A" w:rsidP="00BD296A">
      <w:pPr>
        <w:pStyle w:val="Contenudetableau"/>
        <w:numPr>
          <w:ilvl w:val="0"/>
          <w:numId w:val="2"/>
        </w:numPr>
        <w:jc w:val="both"/>
        <w:rPr>
          <w:rFonts w:ascii="Verdana" w:hAnsi="Verdana"/>
        </w:rPr>
      </w:pPr>
      <w:r w:rsidRPr="00AC3E69">
        <w:rPr>
          <w:rFonts w:ascii="Verdana" w:hAnsi="Verdana"/>
          <w:b/>
          <w:bCs/>
        </w:rPr>
        <w:t>Descriptif des actions menées et des publications disponibles</w:t>
      </w:r>
    </w:p>
    <w:p w:rsidR="00BD296A" w:rsidRDefault="00BD296A" w:rsidP="00BD296A">
      <w:pPr>
        <w:pStyle w:val="Corpsdetexte"/>
        <w:jc w:val="both"/>
        <w:rPr>
          <w:rFonts w:ascii="Verdana" w:hAnsi="Verdana"/>
          <w:sz w:val="22"/>
          <w:szCs w:val="22"/>
        </w:rPr>
      </w:pPr>
    </w:p>
    <w:p w:rsidR="00E630B3" w:rsidRDefault="00E630B3" w:rsidP="00F67FA1">
      <w:pPr>
        <w:pStyle w:val="Titre1"/>
      </w:pPr>
      <w:r>
        <w:t>Rédaction d’un journal d’actualités économiques et sociales</w:t>
      </w:r>
      <w:r w:rsidR="00793926">
        <w:t xml:space="preserve"> « L’Eco de Galilée »</w:t>
      </w:r>
    </w:p>
    <w:p w:rsidR="00E630B3" w:rsidRPr="00E630B3" w:rsidRDefault="00E630B3" w:rsidP="00E630B3">
      <w:pPr>
        <w:pStyle w:val="Corpsdetexte"/>
        <w:numPr>
          <w:ilvl w:val="0"/>
          <w:numId w:val="4"/>
        </w:numPr>
        <w:jc w:val="both"/>
        <w:rPr>
          <w:rFonts w:ascii="Verdana" w:hAnsi="Verdana"/>
          <w:b/>
          <w:sz w:val="22"/>
          <w:szCs w:val="22"/>
          <w:u w:val="single"/>
        </w:rPr>
      </w:pPr>
      <w:r w:rsidRPr="00E630B3">
        <w:rPr>
          <w:rFonts w:ascii="Verdana" w:hAnsi="Verdana"/>
          <w:b/>
          <w:sz w:val="22"/>
          <w:szCs w:val="22"/>
          <w:u w:val="single"/>
        </w:rPr>
        <w:t>Identification de sources fiables</w:t>
      </w:r>
    </w:p>
    <w:p w:rsidR="009972BD" w:rsidRDefault="00E630B3" w:rsidP="00BD296A">
      <w:pPr>
        <w:pStyle w:val="Corpsdetexte"/>
        <w:jc w:val="both"/>
        <w:rPr>
          <w:rFonts w:ascii="Verdana" w:hAnsi="Verdana"/>
          <w:sz w:val="22"/>
          <w:szCs w:val="22"/>
        </w:rPr>
      </w:pPr>
      <w:r>
        <w:rPr>
          <w:rFonts w:ascii="Verdana" w:hAnsi="Verdana"/>
          <w:sz w:val="22"/>
          <w:szCs w:val="22"/>
        </w:rPr>
        <w:t xml:space="preserve">Les élèves et étudiants ont travaillé sur l’identification de sources fiables. </w:t>
      </w:r>
    </w:p>
    <w:p w:rsidR="00E630B3" w:rsidRDefault="009972BD" w:rsidP="00BD296A">
      <w:pPr>
        <w:pStyle w:val="Corpsdetexte"/>
        <w:jc w:val="both"/>
        <w:rPr>
          <w:rFonts w:ascii="Verdana" w:hAnsi="Verdana"/>
          <w:sz w:val="22"/>
          <w:szCs w:val="22"/>
        </w:rPr>
      </w:pPr>
      <w:r>
        <w:rPr>
          <w:rFonts w:ascii="Verdana" w:hAnsi="Verdana"/>
          <w:sz w:val="22"/>
          <w:szCs w:val="22"/>
        </w:rPr>
        <w:t>Concernant le travail sur une veille informationnelle à partir d’un thème</w:t>
      </w:r>
      <w:r w:rsidR="000B15E4">
        <w:rPr>
          <w:rFonts w:ascii="Verdana" w:hAnsi="Verdana"/>
          <w:sz w:val="22"/>
          <w:szCs w:val="22"/>
        </w:rPr>
        <w:t xml:space="preserve">, </w:t>
      </w:r>
      <w:r>
        <w:rPr>
          <w:rFonts w:ascii="Verdana" w:hAnsi="Verdana"/>
          <w:sz w:val="22"/>
          <w:szCs w:val="22"/>
        </w:rPr>
        <w:t>le fonctionnement de la veille est compris</w:t>
      </w:r>
      <w:r w:rsidR="000B15E4">
        <w:rPr>
          <w:rFonts w:ascii="Verdana" w:hAnsi="Verdana"/>
          <w:sz w:val="22"/>
          <w:szCs w:val="22"/>
        </w:rPr>
        <w:t xml:space="preserve"> (notamment l’utilisation de Netvibes) en Economie-Gestion. Cependant les élèves/étudiants ne perçoivent pas toujours l’intérêt de l’utiliser. </w:t>
      </w:r>
    </w:p>
    <w:p w:rsidR="000B15E4" w:rsidRDefault="000B15E4" w:rsidP="00BD296A">
      <w:pPr>
        <w:pStyle w:val="Corpsdetexte"/>
        <w:jc w:val="both"/>
        <w:rPr>
          <w:rFonts w:ascii="Verdana" w:hAnsi="Verdana"/>
          <w:sz w:val="22"/>
          <w:szCs w:val="22"/>
        </w:rPr>
      </w:pPr>
      <w:r>
        <w:rPr>
          <w:rFonts w:ascii="Verdana" w:hAnsi="Verdana"/>
          <w:sz w:val="22"/>
          <w:szCs w:val="22"/>
        </w:rPr>
        <w:t>Le choix que nous avons retenu fut de laisser les élèves/étudiants choisir eux-mêmes leur thématique de travail sur des domaines qui relevaient de leurs programmes : Economie, Droit, Ressources Humaines, Sociologie ou Mercatique. Ils pouvaient constituer des groupes de 2 ou 3</w:t>
      </w:r>
      <w:r w:rsidR="002F1EDA">
        <w:rPr>
          <w:rFonts w:ascii="Verdana" w:hAnsi="Verdana"/>
          <w:sz w:val="22"/>
          <w:szCs w:val="22"/>
        </w:rPr>
        <w:t xml:space="preserve"> ; certains ont préféré travailler seul. </w:t>
      </w:r>
    </w:p>
    <w:p w:rsidR="000B15E4" w:rsidRDefault="000B15E4" w:rsidP="00BD296A">
      <w:pPr>
        <w:pStyle w:val="Corpsdetexte"/>
        <w:jc w:val="both"/>
        <w:rPr>
          <w:rFonts w:ascii="Verdana" w:hAnsi="Verdana"/>
          <w:sz w:val="22"/>
          <w:szCs w:val="22"/>
        </w:rPr>
      </w:pPr>
      <w:r>
        <w:rPr>
          <w:rFonts w:ascii="Verdana" w:hAnsi="Verdana"/>
          <w:sz w:val="22"/>
          <w:szCs w:val="22"/>
        </w:rPr>
        <w:t xml:space="preserve">Nous avons ensuite validé les thèmes choisis et laisser les élèves/étudiants nous exposer leurs projets avec leurs sources. </w:t>
      </w:r>
      <w:r w:rsidR="002F1EDA">
        <w:rPr>
          <w:rFonts w:ascii="Verdana" w:hAnsi="Verdana"/>
          <w:sz w:val="22"/>
          <w:szCs w:val="22"/>
        </w:rPr>
        <w:t xml:space="preserve">Le travail se déroulait obligatoirement 1 heure tous les 15 jours au CDI. Ils pouvaient ainsi profiter des sources documentaires papier ou numériques du CDI. </w:t>
      </w:r>
      <w:r>
        <w:rPr>
          <w:rFonts w:ascii="Verdana" w:hAnsi="Verdana"/>
          <w:sz w:val="22"/>
          <w:szCs w:val="22"/>
        </w:rPr>
        <w:t xml:space="preserve">Certains ont choisi de rédiger des articles en anglais. </w:t>
      </w:r>
    </w:p>
    <w:p w:rsidR="00A96397" w:rsidRDefault="000B15E4" w:rsidP="00BD296A">
      <w:pPr>
        <w:pStyle w:val="Corpsdetexte"/>
        <w:jc w:val="both"/>
        <w:rPr>
          <w:rFonts w:ascii="Verdana" w:hAnsi="Verdana"/>
          <w:sz w:val="22"/>
          <w:szCs w:val="22"/>
        </w:rPr>
      </w:pPr>
      <w:r>
        <w:rPr>
          <w:rFonts w:ascii="Verdana" w:hAnsi="Verdana"/>
          <w:sz w:val="22"/>
          <w:szCs w:val="22"/>
        </w:rPr>
        <w:t>Ils nous on</w:t>
      </w:r>
      <w:r w:rsidR="002F1EDA">
        <w:rPr>
          <w:rFonts w:ascii="Verdana" w:hAnsi="Verdana"/>
          <w:sz w:val="22"/>
          <w:szCs w:val="22"/>
        </w:rPr>
        <w:t>t ensuite remis leurs articles sur la plateforme Google Drive avec un document identifiant leurs sources de travail (bibliographie et/ou sitographie)</w:t>
      </w:r>
      <w:r w:rsidR="001C1D89">
        <w:rPr>
          <w:rFonts w:ascii="Verdana" w:hAnsi="Verdana"/>
          <w:sz w:val="22"/>
          <w:szCs w:val="22"/>
        </w:rPr>
        <w:t xml:space="preserve"> (capture d’écran)</w:t>
      </w:r>
      <w:r w:rsidR="002F1EDA">
        <w:rPr>
          <w:rFonts w:ascii="Verdana" w:hAnsi="Verdana"/>
          <w:sz w:val="22"/>
          <w:szCs w:val="22"/>
        </w:rPr>
        <w:t>.</w:t>
      </w:r>
      <w:r w:rsidR="00202FE3">
        <w:rPr>
          <w:rFonts w:ascii="Verdana" w:hAnsi="Verdana"/>
          <w:sz w:val="22"/>
          <w:szCs w:val="22"/>
        </w:rPr>
        <w:t xml:space="preserve"> Si nécessaire, Google Drive servait également à fournir aux élèves/étudiants </w:t>
      </w:r>
      <w:r w:rsidR="00202FE3">
        <w:rPr>
          <w:rFonts w:ascii="Verdana" w:hAnsi="Verdana"/>
          <w:sz w:val="22"/>
          <w:szCs w:val="22"/>
        </w:rPr>
        <w:lastRenderedPageBreak/>
        <w:t xml:space="preserve">des documents qui nous semblait particulièrement pertinents pour leur thème de travail. </w:t>
      </w:r>
    </w:p>
    <w:p w:rsidR="00202FE3" w:rsidRDefault="00202FE3" w:rsidP="00BD296A">
      <w:pPr>
        <w:pStyle w:val="Corpsdetexte"/>
        <w:jc w:val="both"/>
        <w:rPr>
          <w:rFonts w:ascii="Verdana" w:hAnsi="Verdana"/>
          <w:sz w:val="22"/>
          <w:szCs w:val="22"/>
        </w:rPr>
      </w:pPr>
      <w:r>
        <w:rPr>
          <w:rFonts w:ascii="Verdana" w:hAnsi="Verdana"/>
          <w:sz w:val="22"/>
          <w:szCs w:val="22"/>
        </w:rPr>
        <w:t xml:space="preserve">Ensuite un comité de rédaction composé principalement des professeurs a organisé la relecture des articles et a pu demander quelques modifications. Ce comité devait finaliser la relecture, avec à sa tête le professeur de lettres classiques. </w:t>
      </w:r>
    </w:p>
    <w:p w:rsidR="00202FE3" w:rsidRPr="00AC3E69" w:rsidRDefault="00202FE3" w:rsidP="00BD296A">
      <w:pPr>
        <w:pStyle w:val="Corpsdetexte"/>
        <w:jc w:val="both"/>
        <w:rPr>
          <w:rFonts w:ascii="Verdana" w:hAnsi="Verdana"/>
          <w:sz w:val="22"/>
          <w:szCs w:val="22"/>
        </w:rPr>
      </w:pPr>
      <w:r>
        <w:rPr>
          <w:rFonts w:ascii="Verdana" w:hAnsi="Verdana"/>
          <w:sz w:val="22"/>
          <w:szCs w:val="22"/>
        </w:rPr>
        <w:t xml:space="preserve">Enfin les articles sont déposés sur la plateforme </w:t>
      </w:r>
      <w:proofErr w:type="spellStart"/>
      <w:r>
        <w:rPr>
          <w:rFonts w:ascii="Verdana" w:hAnsi="Verdana"/>
          <w:sz w:val="22"/>
          <w:szCs w:val="22"/>
        </w:rPr>
        <w:t>Madmagz</w:t>
      </w:r>
      <w:proofErr w:type="spellEnd"/>
      <w:r>
        <w:rPr>
          <w:rFonts w:ascii="Verdana" w:hAnsi="Verdana"/>
          <w:sz w:val="22"/>
          <w:szCs w:val="22"/>
        </w:rPr>
        <w:t xml:space="preserve"> : la mise en page et l’identification d’images libres de droits sont réalisées essentiellement sous la direction de la professeure documentaliste. Nous avons créé des QR code à partir des sources des thèmes, QR Code mis sur les articles sur </w:t>
      </w:r>
      <w:proofErr w:type="spellStart"/>
      <w:r>
        <w:rPr>
          <w:rFonts w:ascii="Verdana" w:hAnsi="Verdana"/>
          <w:sz w:val="22"/>
          <w:szCs w:val="22"/>
        </w:rPr>
        <w:t>Madmagz</w:t>
      </w:r>
      <w:proofErr w:type="spellEnd"/>
      <w:r>
        <w:rPr>
          <w:rFonts w:ascii="Verdana" w:hAnsi="Verdana"/>
          <w:sz w:val="22"/>
          <w:szCs w:val="22"/>
        </w:rPr>
        <w:t>.</w:t>
      </w:r>
    </w:p>
    <w:p w:rsidR="00BD296A" w:rsidRPr="00AC3E69" w:rsidRDefault="00BD296A" w:rsidP="00BD296A">
      <w:pPr>
        <w:pStyle w:val="Contenudetableau"/>
        <w:numPr>
          <w:ilvl w:val="0"/>
          <w:numId w:val="2"/>
        </w:numPr>
        <w:jc w:val="both"/>
        <w:rPr>
          <w:rFonts w:ascii="Verdana" w:hAnsi="Verdana"/>
          <w:sz w:val="22"/>
          <w:szCs w:val="22"/>
        </w:rPr>
      </w:pPr>
      <w:r w:rsidRPr="00AC3E69">
        <w:rPr>
          <w:rFonts w:ascii="Verdana" w:hAnsi="Verdana"/>
          <w:b/>
          <w:bCs/>
        </w:rPr>
        <w:t>Calendrier prévisionnel des actions restant à réaliser</w:t>
      </w:r>
      <w:r w:rsidRPr="00AC3E69">
        <w:rPr>
          <w:rFonts w:ascii="Verdana" w:hAnsi="Verdana"/>
        </w:rPr>
        <w:t xml:space="preserve"> :</w:t>
      </w:r>
    </w:p>
    <w:p w:rsidR="00BD296A" w:rsidRPr="00AC3E69" w:rsidRDefault="00BD296A" w:rsidP="00BD296A">
      <w:pPr>
        <w:pStyle w:val="Contenudetableau"/>
        <w:jc w:val="both"/>
        <w:rPr>
          <w:rFonts w:ascii="Verdana" w:hAnsi="Verdana"/>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97"/>
        <w:gridCol w:w="8024"/>
      </w:tblGrid>
      <w:tr w:rsidR="00AC3E69" w:rsidRPr="00AC3E69" w:rsidTr="00AC3E69">
        <w:tc>
          <w:tcPr>
            <w:tcW w:w="1597" w:type="dxa"/>
            <w:shd w:val="clear" w:color="auto" w:fill="BDB5B5" w:themeFill="accent5" w:themeFillTint="99"/>
            <w:vAlign w:val="center"/>
          </w:tcPr>
          <w:p w:rsidR="00BD296A" w:rsidRPr="00AC3E69" w:rsidRDefault="00BD296A" w:rsidP="00005653">
            <w:pPr>
              <w:pStyle w:val="Contenudetableau"/>
              <w:jc w:val="center"/>
              <w:rPr>
                <w:rFonts w:ascii="Verdana" w:hAnsi="Verdana"/>
                <w:b/>
                <w:bCs/>
              </w:rPr>
            </w:pPr>
            <w:r w:rsidRPr="00AC3E69">
              <w:rPr>
                <w:rFonts w:ascii="Verdana" w:hAnsi="Verdana"/>
                <w:b/>
                <w:bCs/>
              </w:rPr>
              <w:t>Date ou période</w:t>
            </w:r>
          </w:p>
        </w:tc>
        <w:tc>
          <w:tcPr>
            <w:tcW w:w="8024" w:type="dxa"/>
            <w:shd w:val="clear" w:color="auto" w:fill="BDB5B5" w:themeFill="accent5" w:themeFillTint="99"/>
            <w:vAlign w:val="center"/>
          </w:tcPr>
          <w:p w:rsidR="00BD296A" w:rsidRPr="00AC3E69" w:rsidRDefault="00BD296A" w:rsidP="00005653">
            <w:pPr>
              <w:pStyle w:val="Contenudetableau"/>
              <w:jc w:val="center"/>
              <w:rPr>
                <w:rFonts w:ascii="Verdana" w:hAnsi="Verdana"/>
                <w:sz w:val="22"/>
                <w:szCs w:val="22"/>
              </w:rPr>
            </w:pPr>
            <w:r w:rsidRPr="00AC3E69">
              <w:rPr>
                <w:rFonts w:ascii="Verdana" w:hAnsi="Verdana"/>
                <w:b/>
                <w:bCs/>
              </w:rPr>
              <w:t>Étape</w:t>
            </w:r>
          </w:p>
        </w:tc>
      </w:tr>
      <w:tr w:rsidR="00AC3E69" w:rsidRPr="00AC3E69" w:rsidTr="00F058DC">
        <w:tc>
          <w:tcPr>
            <w:tcW w:w="1597"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Avant le 01 avril</w:t>
            </w:r>
          </w:p>
        </w:tc>
        <w:tc>
          <w:tcPr>
            <w:tcW w:w="8024"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Publication définitive après relecture par le « comité de rédaction » de tous les articles du 1</w:t>
            </w:r>
            <w:r w:rsidRPr="00E630B3">
              <w:rPr>
                <w:rFonts w:ascii="Verdana" w:hAnsi="Verdana"/>
                <w:sz w:val="22"/>
                <w:szCs w:val="22"/>
                <w:vertAlign w:val="superscript"/>
              </w:rPr>
              <w:t>er</w:t>
            </w:r>
            <w:r>
              <w:rPr>
                <w:rFonts w:ascii="Verdana" w:hAnsi="Verdana"/>
                <w:sz w:val="22"/>
                <w:szCs w:val="22"/>
              </w:rPr>
              <w:t xml:space="preserve"> journal</w:t>
            </w:r>
          </w:p>
        </w:tc>
      </w:tr>
      <w:tr w:rsidR="00AC3E69" w:rsidRPr="00AC3E69" w:rsidTr="00F058DC">
        <w:tc>
          <w:tcPr>
            <w:tcW w:w="1597"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Avant le 01 mai</w:t>
            </w:r>
          </w:p>
        </w:tc>
        <w:tc>
          <w:tcPr>
            <w:tcW w:w="8024"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Publication définitive du 2</w:t>
            </w:r>
            <w:r w:rsidRPr="00E630B3">
              <w:rPr>
                <w:rFonts w:ascii="Verdana" w:hAnsi="Verdana"/>
                <w:sz w:val="22"/>
                <w:szCs w:val="22"/>
                <w:vertAlign w:val="superscript"/>
              </w:rPr>
              <w:t>ème</w:t>
            </w:r>
            <w:r>
              <w:rPr>
                <w:rFonts w:ascii="Verdana" w:hAnsi="Verdana"/>
                <w:sz w:val="22"/>
                <w:szCs w:val="22"/>
              </w:rPr>
              <w:t xml:space="preserve"> journal : les articles sont quasiment tous définitifs. Il manque également la relecture définitive.  </w:t>
            </w:r>
          </w:p>
        </w:tc>
      </w:tr>
      <w:tr w:rsidR="00AC3E69" w:rsidRPr="00AC3E69" w:rsidTr="00F058DC">
        <w:tc>
          <w:tcPr>
            <w:tcW w:w="1597"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Avant le 01 juin</w:t>
            </w:r>
          </w:p>
        </w:tc>
        <w:tc>
          <w:tcPr>
            <w:tcW w:w="8024"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Publication d’un journal plus restreint probablement</w:t>
            </w:r>
          </w:p>
        </w:tc>
      </w:tr>
      <w:tr w:rsidR="00AC3E69" w:rsidRPr="00AC3E69" w:rsidTr="00F058DC">
        <w:tc>
          <w:tcPr>
            <w:tcW w:w="1597"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Suite</w:t>
            </w:r>
          </w:p>
        </w:tc>
        <w:tc>
          <w:tcPr>
            <w:tcW w:w="8024" w:type="dxa"/>
            <w:shd w:val="clear" w:color="auto" w:fill="auto"/>
          </w:tcPr>
          <w:p w:rsidR="00BD296A" w:rsidRPr="00AC3E69" w:rsidRDefault="00E630B3" w:rsidP="00005653">
            <w:pPr>
              <w:pStyle w:val="Contenudetableau"/>
              <w:jc w:val="both"/>
              <w:rPr>
                <w:rFonts w:ascii="Verdana" w:hAnsi="Verdana"/>
                <w:sz w:val="22"/>
                <w:szCs w:val="22"/>
              </w:rPr>
            </w:pPr>
            <w:r>
              <w:rPr>
                <w:rFonts w:ascii="Verdana" w:hAnsi="Verdana"/>
                <w:sz w:val="22"/>
                <w:szCs w:val="22"/>
              </w:rPr>
              <w:t>Le journal devrait continuer l’année prochaine, en septembre il est prévu de publier des articles des élèves de STS 1 qui décriront leur stage à l’étranger.</w:t>
            </w:r>
          </w:p>
        </w:tc>
      </w:tr>
    </w:tbl>
    <w:p w:rsidR="00BD296A" w:rsidRPr="00766666" w:rsidRDefault="00BD296A" w:rsidP="00BD296A">
      <w:pPr>
        <w:pStyle w:val="Contenudetableau"/>
        <w:jc w:val="both"/>
        <w:rPr>
          <w:rFonts w:ascii="DejaVu Sans" w:hAnsi="DejaVu Sans" w:cs="DejaVu Sans"/>
          <w:sz w:val="22"/>
          <w:szCs w:val="22"/>
        </w:rPr>
      </w:pPr>
    </w:p>
    <w:p w:rsidR="00D870E7" w:rsidRPr="00D870E7" w:rsidRDefault="00D870E7" w:rsidP="00BD296A">
      <w:pPr>
        <w:pStyle w:val="Contenudetableau"/>
        <w:jc w:val="both"/>
        <w:rPr>
          <w:rFonts w:ascii="DejaVu Sans" w:hAnsi="DejaVu Sans" w:cs="DejaVu Sans"/>
          <w:b/>
          <w:sz w:val="28"/>
          <w:szCs w:val="28"/>
        </w:rPr>
      </w:pPr>
      <w:r w:rsidRPr="00D870E7">
        <w:rPr>
          <w:rFonts w:ascii="DejaVu Sans" w:hAnsi="DejaVu Sans" w:cs="DejaVu Sans"/>
          <w:b/>
          <w:sz w:val="28"/>
          <w:szCs w:val="28"/>
        </w:rPr>
        <w:t xml:space="preserve">Lien vers le journal réalisé : </w:t>
      </w:r>
      <w:hyperlink r:id="rId6" w:history="1">
        <w:r w:rsidRPr="00D870E7">
          <w:rPr>
            <w:rStyle w:val="Lienhypertexte"/>
            <w:rFonts w:ascii="DejaVu Sans" w:hAnsi="DejaVu Sans" w:cs="DejaVu Sans"/>
            <w:b/>
            <w:sz w:val="28"/>
            <w:szCs w:val="28"/>
          </w:rPr>
          <w:t>https://madmagz.com/fr/magazine/969296</w:t>
        </w:r>
      </w:hyperlink>
    </w:p>
    <w:p w:rsidR="00D870E7" w:rsidRDefault="00D870E7" w:rsidP="00BD296A">
      <w:pPr>
        <w:pStyle w:val="Contenudetableau"/>
        <w:jc w:val="both"/>
        <w:rPr>
          <w:rFonts w:ascii="DejaVu Sans" w:hAnsi="DejaVu Sans" w:cs="DejaVu Sans"/>
          <w:sz w:val="22"/>
          <w:szCs w:val="22"/>
        </w:rPr>
      </w:pPr>
    </w:p>
    <w:p w:rsidR="00D870E7" w:rsidRPr="00766666" w:rsidRDefault="00D870E7" w:rsidP="00BD296A">
      <w:pPr>
        <w:pStyle w:val="Contenudetableau"/>
        <w:jc w:val="both"/>
        <w:rPr>
          <w:rFonts w:ascii="DejaVu Sans" w:hAnsi="DejaVu Sans" w:cs="DejaVu Sans"/>
          <w:sz w:val="22"/>
          <w:szCs w:val="22"/>
        </w:rPr>
      </w:pPr>
    </w:p>
    <w:p w:rsidR="00766666" w:rsidRPr="00AC3E69" w:rsidRDefault="00EA0562" w:rsidP="00766666">
      <w:pPr>
        <w:pStyle w:val="Contenudetableau"/>
        <w:numPr>
          <w:ilvl w:val="0"/>
          <w:numId w:val="2"/>
        </w:numPr>
        <w:jc w:val="both"/>
        <w:rPr>
          <w:rFonts w:ascii="Verdana" w:hAnsi="Verdana"/>
          <w:sz w:val="22"/>
          <w:szCs w:val="22"/>
        </w:rPr>
      </w:pPr>
      <w:r>
        <w:rPr>
          <w:rFonts w:ascii="Verdana" w:hAnsi="Verdana"/>
          <w:b/>
          <w:bCs/>
        </w:rPr>
        <w:t>Apports des actions menées pour l’enseignement</w:t>
      </w:r>
      <w:r w:rsidR="00766666">
        <w:rPr>
          <w:rFonts w:ascii="Verdana" w:hAnsi="Verdana"/>
          <w:b/>
          <w:bCs/>
        </w:rPr>
        <w:t xml:space="preserve"> et axes de progression</w:t>
      </w:r>
      <w:r>
        <w:rPr>
          <w:rFonts w:ascii="Verdana" w:hAnsi="Verdana"/>
          <w:b/>
          <w:bCs/>
        </w:rPr>
        <w:t xml:space="preserve"> envisageables</w:t>
      </w:r>
    </w:p>
    <w:p w:rsidR="00BD296A" w:rsidRPr="00766666" w:rsidRDefault="00EA0562" w:rsidP="00BD296A">
      <w:pPr>
        <w:pStyle w:val="Contenudetableau"/>
        <w:jc w:val="both"/>
        <w:rPr>
          <w:rFonts w:ascii="DejaVu Sans" w:hAnsi="DejaVu Sans" w:cs="DejaVu Sans"/>
          <w:sz w:val="22"/>
          <w:szCs w:val="22"/>
        </w:rPr>
      </w:pPr>
      <w:r w:rsidRPr="00AC3E69">
        <w:rPr>
          <w:rFonts w:ascii="Verdana" w:hAnsi="Verdana"/>
          <w:i/>
          <w:sz w:val="20"/>
          <w:szCs w:val="20"/>
        </w:rPr>
        <w:t>(Il est attendu dans ce cadre</w:t>
      </w:r>
      <w:r w:rsidR="00D56B02">
        <w:rPr>
          <w:rFonts w:ascii="Verdana" w:hAnsi="Verdana"/>
          <w:i/>
          <w:sz w:val="20"/>
          <w:szCs w:val="20"/>
        </w:rPr>
        <w:t xml:space="preserve"> </w:t>
      </w:r>
      <w:r w:rsidR="007A14F3">
        <w:rPr>
          <w:rFonts w:ascii="Verdana" w:hAnsi="Verdana"/>
          <w:i/>
          <w:sz w:val="20"/>
          <w:szCs w:val="20"/>
        </w:rPr>
        <w:t>vos premières impressions sur les</w:t>
      </w:r>
      <w:r w:rsidR="002E6B2B" w:rsidRPr="00AC3E69">
        <w:rPr>
          <w:rFonts w:ascii="Verdana" w:hAnsi="Verdana"/>
          <w:i/>
          <w:sz w:val="20"/>
          <w:szCs w:val="20"/>
        </w:rPr>
        <w:t xml:space="preserve"> plus-values du numérique pour les apprentissages</w:t>
      </w:r>
      <w:r w:rsidR="002E6B2B">
        <w:rPr>
          <w:rFonts w:ascii="Verdana" w:hAnsi="Verdana"/>
          <w:i/>
          <w:sz w:val="20"/>
          <w:szCs w:val="20"/>
        </w:rPr>
        <w:t xml:space="preserve"> en termes d’acquisition des compétenc</w:t>
      </w:r>
      <w:r w:rsidR="00603042">
        <w:rPr>
          <w:rFonts w:ascii="Verdana" w:hAnsi="Verdana"/>
          <w:i/>
          <w:sz w:val="20"/>
          <w:szCs w:val="20"/>
        </w:rPr>
        <w:t>es mais également de motivation</w:t>
      </w:r>
      <w:r w:rsidR="006C34BE">
        <w:rPr>
          <w:rFonts w:ascii="Verdana" w:hAnsi="Verdana"/>
          <w:i/>
          <w:sz w:val="20"/>
          <w:szCs w:val="20"/>
        </w:rPr>
        <w:t xml:space="preserve"> et de développement de l’autonomie chez les élèves. Les transformations </w:t>
      </w:r>
      <w:r w:rsidR="004B006C">
        <w:rPr>
          <w:rFonts w:ascii="Verdana" w:hAnsi="Verdana"/>
          <w:i/>
          <w:sz w:val="20"/>
          <w:szCs w:val="20"/>
        </w:rPr>
        <w:t xml:space="preserve">éventuelles </w:t>
      </w:r>
      <w:r w:rsidR="006C34BE">
        <w:rPr>
          <w:rFonts w:ascii="Verdana" w:hAnsi="Verdana"/>
          <w:i/>
          <w:sz w:val="20"/>
          <w:szCs w:val="20"/>
        </w:rPr>
        <w:t>de la relation enseignant-élèves peuvent être abordé</w:t>
      </w:r>
      <w:r w:rsidR="002672D9">
        <w:rPr>
          <w:rFonts w:ascii="Verdana" w:hAnsi="Verdana"/>
          <w:i/>
          <w:sz w:val="20"/>
          <w:szCs w:val="20"/>
        </w:rPr>
        <w:t>es ici ainsi que les difficultés et obstacles rencontrés lors de la mise en œuvre des travaux.)</w:t>
      </w:r>
    </w:p>
    <w:p w:rsidR="00BD296A" w:rsidRPr="00766666" w:rsidRDefault="00BD296A" w:rsidP="00BD296A">
      <w:pPr>
        <w:pStyle w:val="Contenudetableau"/>
        <w:jc w:val="both"/>
        <w:rPr>
          <w:rFonts w:ascii="DejaVu Sans" w:hAnsi="DejaVu Sans" w:cs="DejaVu Sans"/>
          <w:sz w:val="22"/>
          <w:szCs w:val="22"/>
        </w:rPr>
      </w:pPr>
    </w:p>
    <w:p w:rsidR="00BD296A" w:rsidRPr="00202FE3" w:rsidRDefault="00E630B3" w:rsidP="00E630B3">
      <w:pPr>
        <w:pStyle w:val="Contenudetableau"/>
        <w:numPr>
          <w:ilvl w:val="0"/>
          <w:numId w:val="5"/>
        </w:numPr>
        <w:jc w:val="both"/>
        <w:rPr>
          <w:rFonts w:ascii="DejaVu Sans" w:hAnsi="DejaVu Sans" w:cs="DejaVu Sans"/>
          <w:b/>
          <w:sz w:val="22"/>
          <w:szCs w:val="22"/>
          <w:u w:val="single"/>
        </w:rPr>
      </w:pPr>
      <w:r w:rsidRPr="00202FE3">
        <w:rPr>
          <w:rFonts w:ascii="DejaVu Sans" w:hAnsi="DejaVu Sans" w:cs="DejaVu Sans"/>
          <w:b/>
          <w:sz w:val="22"/>
          <w:szCs w:val="22"/>
          <w:u w:val="single"/>
        </w:rPr>
        <w:t>Concernant les plus-values du numérique</w:t>
      </w:r>
    </w:p>
    <w:p w:rsidR="002F1EDA" w:rsidRDefault="002F1EDA" w:rsidP="002F1EDA">
      <w:pPr>
        <w:pStyle w:val="Contenudetableau"/>
        <w:jc w:val="both"/>
        <w:rPr>
          <w:rFonts w:ascii="DejaVu Sans" w:hAnsi="DejaVu Sans" w:cs="DejaVu Sans"/>
          <w:sz w:val="22"/>
          <w:szCs w:val="22"/>
        </w:rPr>
      </w:pPr>
      <w:r>
        <w:rPr>
          <w:rFonts w:ascii="DejaVu Sans" w:hAnsi="DejaVu Sans" w:cs="DejaVu Sans"/>
          <w:sz w:val="22"/>
          <w:szCs w:val="22"/>
        </w:rPr>
        <w:t xml:space="preserve">Le numérique sert de partage des documents : utilisation de Google Drive pour </w:t>
      </w:r>
      <w:r w:rsidR="00202FE3">
        <w:rPr>
          <w:rFonts w:ascii="DejaVu Sans" w:hAnsi="DejaVu Sans" w:cs="DejaVu Sans"/>
          <w:sz w:val="22"/>
          <w:szCs w:val="22"/>
        </w:rPr>
        <w:t xml:space="preserve">le partage des articles et du document ; utilisation de </w:t>
      </w:r>
      <w:proofErr w:type="spellStart"/>
      <w:r w:rsidR="00202FE3">
        <w:rPr>
          <w:rFonts w:ascii="DejaVu Sans" w:hAnsi="DejaVu Sans" w:cs="DejaVu Sans"/>
          <w:sz w:val="22"/>
          <w:szCs w:val="22"/>
        </w:rPr>
        <w:t>Madmagz</w:t>
      </w:r>
      <w:proofErr w:type="spellEnd"/>
      <w:r w:rsidR="00202FE3">
        <w:rPr>
          <w:rFonts w:ascii="DejaVu Sans" w:hAnsi="DejaVu Sans" w:cs="DejaVu Sans"/>
          <w:sz w:val="22"/>
          <w:szCs w:val="22"/>
        </w:rPr>
        <w:t xml:space="preserve"> pour la réalisation du journal et</w:t>
      </w:r>
      <w:r w:rsidR="00D870E7">
        <w:rPr>
          <w:rFonts w:ascii="DejaVu Sans" w:hAnsi="DejaVu Sans" w:cs="DejaVu Sans"/>
          <w:sz w:val="22"/>
          <w:szCs w:val="22"/>
        </w:rPr>
        <w:t xml:space="preserve"> utilisation du logiciel en libr</w:t>
      </w:r>
      <w:r w:rsidR="00202FE3">
        <w:rPr>
          <w:rFonts w:ascii="DejaVu Sans" w:hAnsi="DejaVu Sans" w:cs="DejaVu Sans"/>
          <w:sz w:val="22"/>
          <w:szCs w:val="22"/>
        </w:rPr>
        <w:t xml:space="preserve">e générateur de QR Code </w:t>
      </w:r>
      <w:proofErr w:type="spellStart"/>
      <w:r w:rsidR="00202FE3">
        <w:rPr>
          <w:rFonts w:ascii="DejaVu Sans" w:hAnsi="DejaVu Sans" w:cs="DejaVu Sans"/>
          <w:sz w:val="22"/>
          <w:szCs w:val="22"/>
        </w:rPr>
        <w:t>Unitag</w:t>
      </w:r>
      <w:proofErr w:type="spellEnd"/>
      <w:r w:rsidR="00202FE3">
        <w:rPr>
          <w:rFonts w:ascii="DejaVu Sans" w:hAnsi="DejaVu Sans" w:cs="DejaVu Sans"/>
          <w:sz w:val="22"/>
          <w:szCs w:val="22"/>
        </w:rPr>
        <w:t xml:space="preserve">. </w:t>
      </w:r>
      <w:r w:rsidR="004D695E">
        <w:rPr>
          <w:rFonts w:ascii="DejaVu Sans" w:hAnsi="DejaVu Sans" w:cs="DejaVu Sans"/>
          <w:sz w:val="22"/>
          <w:szCs w:val="22"/>
        </w:rPr>
        <w:t xml:space="preserve">Tous ces outils facilitent le partage du travail, ainsi que la diffusion du travail. Le Journal doit être mis en ligne sur le site du lycée. </w:t>
      </w:r>
    </w:p>
    <w:p w:rsidR="004D695E" w:rsidRDefault="004D695E" w:rsidP="002F1EDA">
      <w:pPr>
        <w:pStyle w:val="Contenudetableau"/>
        <w:jc w:val="both"/>
        <w:rPr>
          <w:rFonts w:ascii="DejaVu Sans" w:hAnsi="DejaVu Sans" w:cs="DejaVu Sans"/>
          <w:sz w:val="22"/>
          <w:szCs w:val="22"/>
        </w:rPr>
      </w:pPr>
    </w:p>
    <w:p w:rsidR="00E630B3" w:rsidRPr="00202FE3" w:rsidRDefault="00E630B3" w:rsidP="00E630B3">
      <w:pPr>
        <w:pStyle w:val="Contenudetableau"/>
        <w:numPr>
          <w:ilvl w:val="0"/>
          <w:numId w:val="5"/>
        </w:numPr>
        <w:jc w:val="both"/>
        <w:rPr>
          <w:rFonts w:ascii="DejaVu Sans" w:hAnsi="DejaVu Sans" w:cs="DejaVu Sans"/>
          <w:b/>
          <w:sz w:val="22"/>
          <w:szCs w:val="22"/>
          <w:u w:val="single"/>
        </w:rPr>
      </w:pPr>
      <w:r w:rsidRPr="00202FE3">
        <w:rPr>
          <w:rFonts w:ascii="DejaVu Sans" w:hAnsi="DejaVu Sans" w:cs="DejaVu Sans"/>
          <w:b/>
          <w:sz w:val="22"/>
          <w:szCs w:val="22"/>
          <w:u w:val="single"/>
        </w:rPr>
        <w:t>Concernant l’acquisition de compétences par les élèves/étudiants</w:t>
      </w:r>
    </w:p>
    <w:p w:rsidR="002F1EDA" w:rsidRDefault="002F1EDA" w:rsidP="002F1EDA">
      <w:pPr>
        <w:pStyle w:val="Contenudetableau"/>
        <w:jc w:val="both"/>
        <w:rPr>
          <w:rFonts w:ascii="DejaVu Sans" w:hAnsi="DejaVu Sans" w:cs="DejaVu Sans"/>
          <w:sz w:val="22"/>
          <w:szCs w:val="22"/>
        </w:rPr>
      </w:pPr>
      <w:r>
        <w:rPr>
          <w:rFonts w:ascii="DejaVu Sans" w:hAnsi="DejaVu Sans" w:cs="DejaVu Sans"/>
          <w:sz w:val="22"/>
          <w:szCs w:val="22"/>
        </w:rPr>
        <w:t xml:space="preserve">Les élèves/étudiants </w:t>
      </w:r>
      <w:r w:rsidR="00202FE3">
        <w:rPr>
          <w:rFonts w:ascii="DejaVu Sans" w:hAnsi="DejaVu Sans" w:cs="DejaVu Sans"/>
          <w:sz w:val="22"/>
          <w:szCs w:val="22"/>
        </w:rPr>
        <w:t xml:space="preserve">ont pu apprendre à identifier des sources fiables. </w:t>
      </w:r>
      <w:r w:rsidR="004D695E">
        <w:rPr>
          <w:rFonts w:ascii="DejaVu Sans" w:hAnsi="DejaVu Sans" w:cs="DejaVu Sans"/>
          <w:sz w:val="22"/>
          <w:szCs w:val="22"/>
        </w:rPr>
        <w:t xml:space="preserve">Les premiers objectifs de la réalisation d’un tel journal étaient de faire lire de l’actualité et de faire produire de l’écrit aux élèves de voie technologique principalement. </w:t>
      </w:r>
    </w:p>
    <w:p w:rsidR="002F1EDA" w:rsidRDefault="002F1EDA" w:rsidP="002F1EDA">
      <w:pPr>
        <w:pStyle w:val="Contenudetableau"/>
        <w:jc w:val="both"/>
        <w:rPr>
          <w:rFonts w:ascii="DejaVu Sans" w:hAnsi="DejaVu Sans" w:cs="DejaVu Sans"/>
          <w:sz w:val="22"/>
          <w:szCs w:val="22"/>
        </w:rPr>
      </w:pPr>
    </w:p>
    <w:p w:rsidR="00E630B3" w:rsidRPr="004D695E" w:rsidRDefault="00E630B3" w:rsidP="00E630B3">
      <w:pPr>
        <w:pStyle w:val="Contenudetableau"/>
        <w:numPr>
          <w:ilvl w:val="0"/>
          <w:numId w:val="5"/>
        </w:numPr>
        <w:jc w:val="both"/>
        <w:rPr>
          <w:rFonts w:ascii="DejaVu Sans" w:hAnsi="DejaVu Sans" w:cs="DejaVu Sans"/>
          <w:b/>
          <w:sz w:val="22"/>
          <w:szCs w:val="22"/>
          <w:u w:val="single"/>
        </w:rPr>
      </w:pPr>
      <w:r w:rsidRPr="004D695E">
        <w:rPr>
          <w:rFonts w:ascii="DejaVu Sans" w:hAnsi="DejaVu Sans" w:cs="DejaVu Sans"/>
          <w:b/>
          <w:sz w:val="22"/>
          <w:szCs w:val="22"/>
          <w:u w:val="single"/>
        </w:rPr>
        <w:t>Concernant le développement de l’autonomie chez les élèves/étudiants</w:t>
      </w:r>
    </w:p>
    <w:p w:rsidR="002F1EDA" w:rsidRDefault="002F1EDA" w:rsidP="002F1EDA">
      <w:pPr>
        <w:pStyle w:val="Contenudetableau"/>
        <w:jc w:val="both"/>
        <w:rPr>
          <w:rFonts w:ascii="DejaVu Sans" w:hAnsi="DejaVu Sans" w:cs="DejaVu Sans"/>
          <w:sz w:val="22"/>
          <w:szCs w:val="22"/>
        </w:rPr>
      </w:pPr>
      <w:r>
        <w:rPr>
          <w:rFonts w:ascii="DejaVu Sans" w:hAnsi="DejaVu Sans" w:cs="DejaVu Sans"/>
          <w:sz w:val="22"/>
          <w:szCs w:val="22"/>
        </w:rPr>
        <w:t xml:space="preserve">Cela accroît l’autonomie des élèves/étudiants puisqu’ils doivent réaliser sans cadre strict un projet. Les professeurs servent simplement de soutien, mais il ne faut surtout pas trop les cadrer. Ils ont souvent des idées assez innovantes d’articles. </w:t>
      </w:r>
    </w:p>
    <w:p w:rsidR="004D695E" w:rsidRDefault="004D695E" w:rsidP="002F1EDA">
      <w:pPr>
        <w:pStyle w:val="Contenudetableau"/>
        <w:jc w:val="both"/>
        <w:rPr>
          <w:rFonts w:ascii="DejaVu Sans" w:hAnsi="DejaVu Sans" w:cs="DejaVu Sans"/>
          <w:sz w:val="22"/>
          <w:szCs w:val="22"/>
        </w:rPr>
      </w:pPr>
    </w:p>
    <w:p w:rsidR="00E630B3" w:rsidRPr="004D695E" w:rsidRDefault="00E630B3" w:rsidP="00E630B3">
      <w:pPr>
        <w:pStyle w:val="Contenudetableau"/>
        <w:numPr>
          <w:ilvl w:val="0"/>
          <w:numId w:val="5"/>
        </w:numPr>
        <w:jc w:val="both"/>
        <w:rPr>
          <w:rFonts w:ascii="DejaVu Sans" w:hAnsi="DejaVu Sans" w:cs="DejaVu Sans"/>
          <w:b/>
          <w:sz w:val="22"/>
          <w:szCs w:val="22"/>
          <w:u w:val="single"/>
        </w:rPr>
      </w:pPr>
      <w:r w:rsidRPr="004D695E">
        <w:rPr>
          <w:rFonts w:ascii="DejaVu Sans" w:hAnsi="DejaVu Sans" w:cs="DejaVu Sans"/>
          <w:b/>
          <w:sz w:val="22"/>
          <w:szCs w:val="22"/>
          <w:u w:val="single"/>
        </w:rPr>
        <w:t>Relations enseignant/élèves</w:t>
      </w:r>
    </w:p>
    <w:p w:rsidR="002F1EDA" w:rsidRDefault="002F1EDA" w:rsidP="002F1EDA">
      <w:pPr>
        <w:pStyle w:val="Contenudetableau"/>
        <w:jc w:val="both"/>
        <w:rPr>
          <w:rFonts w:ascii="DejaVu Sans" w:hAnsi="DejaVu Sans" w:cs="DejaVu Sans"/>
          <w:sz w:val="22"/>
          <w:szCs w:val="22"/>
        </w:rPr>
      </w:pPr>
      <w:r>
        <w:rPr>
          <w:rFonts w:ascii="DejaVu Sans" w:hAnsi="DejaVu Sans" w:cs="DejaVu Sans"/>
          <w:sz w:val="22"/>
          <w:szCs w:val="22"/>
        </w:rPr>
        <w:t xml:space="preserve">Ce projet permet d’améliorer cette relation enseignant/élèves : les élèves ressentent qu’on leur fait confiance et qu’ils ont une certaine liberté d’écriture. Les élèves se sentent valorisés, en filière technologique tout particulièrement. </w:t>
      </w:r>
    </w:p>
    <w:p w:rsidR="004D695E" w:rsidRPr="004D695E" w:rsidRDefault="004D695E" w:rsidP="002F1EDA">
      <w:pPr>
        <w:pStyle w:val="Contenudetableau"/>
        <w:jc w:val="both"/>
        <w:rPr>
          <w:rFonts w:ascii="DejaVu Sans" w:hAnsi="DejaVu Sans" w:cs="DejaVu Sans"/>
          <w:b/>
          <w:sz w:val="22"/>
          <w:szCs w:val="22"/>
          <w:u w:val="single"/>
        </w:rPr>
      </w:pPr>
    </w:p>
    <w:p w:rsidR="002F1EDA" w:rsidRPr="002F1EDA" w:rsidRDefault="00E630B3" w:rsidP="002F1EDA">
      <w:pPr>
        <w:pStyle w:val="Contenudetableau"/>
        <w:numPr>
          <w:ilvl w:val="0"/>
          <w:numId w:val="5"/>
        </w:numPr>
        <w:jc w:val="both"/>
        <w:rPr>
          <w:rFonts w:ascii="DejaVu Sans" w:hAnsi="DejaVu Sans" w:cs="DejaVu Sans"/>
          <w:sz w:val="22"/>
          <w:szCs w:val="22"/>
        </w:rPr>
      </w:pPr>
      <w:r w:rsidRPr="004D695E">
        <w:rPr>
          <w:rFonts w:ascii="DejaVu Sans" w:hAnsi="DejaVu Sans" w:cs="DejaVu Sans"/>
          <w:b/>
          <w:sz w:val="22"/>
          <w:szCs w:val="22"/>
          <w:u w:val="single"/>
        </w:rPr>
        <w:t>Difficultés et obstacles</w:t>
      </w:r>
    </w:p>
    <w:p w:rsidR="002F1EDA" w:rsidRPr="002F1EDA" w:rsidRDefault="002F1EDA" w:rsidP="004D695E">
      <w:pPr>
        <w:pStyle w:val="Contenudetableau"/>
        <w:jc w:val="both"/>
        <w:rPr>
          <w:rFonts w:ascii="DejaVu Sans" w:hAnsi="DejaVu Sans" w:cs="DejaVu Sans"/>
          <w:sz w:val="22"/>
          <w:szCs w:val="22"/>
        </w:rPr>
      </w:pPr>
      <w:r w:rsidRPr="002F1EDA">
        <w:rPr>
          <w:rFonts w:ascii="DejaVu Sans" w:hAnsi="DejaVu Sans" w:cs="DejaVu Sans"/>
          <w:sz w:val="22"/>
          <w:szCs w:val="22"/>
        </w:rPr>
        <w:t>Nous n’avons pas pu réaliser les journaux aussi vite que nous l’aurions voulu du fait de contraintes prévues ou non</w:t>
      </w:r>
      <w:r w:rsidR="004D695E">
        <w:rPr>
          <w:rFonts w:ascii="DejaVu Sans" w:hAnsi="DejaVu Sans" w:cs="DejaVu Sans"/>
          <w:sz w:val="22"/>
          <w:szCs w:val="22"/>
        </w:rPr>
        <w:t xml:space="preserve"> : </w:t>
      </w:r>
      <w:r w:rsidRPr="002F1EDA">
        <w:rPr>
          <w:rFonts w:ascii="DejaVu Sans" w:hAnsi="DejaVu Sans" w:cs="DejaVu Sans"/>
          <w:sz w:val="22"/>
          <w:szCs w:val="22"/>
        </w:rPr>
        <w:t>absences de p</w:t>
      </w:r>
      <w:r w:rsidR="004D695E">
        <w:rPr>
          <w:rFonts w:ascii="DejaVu Sans" w:hAnsi="DejaVu Sans" w:cs="DejaVu Sans"/>
          <w:sz w:val="22"/>
          <w:szCs w:val="22"/>
        </w:rPr>
        <w:t>rofesseurs, bac blanc, BTS blanc, stress des élèves/étudiants confrontés à des DS hebdomadaires ou à des CCF pour les étudiants</w:t>
      </w:r>
      <w:r w:rsidRPr="002F1EDA">
        <w:rPr>
          <w:rFonts w:ascii="DejaVu Sans" w:hAnsi="DejaVu Sans" w:cs="DejaVu Sans"/>
          <w:sz w:val="22"/>
          <w:szCs w:val="22"/>
        </w:rPr>
        <w:t xml:space="preserve">. </w:t>
      </w:r>
      <w:r w:rsidR="004D695E">
        <w:rPr>
          <w:rFonts w:ascii="DejaVu Sans" w:hAnsi="DejaVu Sans" w:cs="DejaVu Sans"/>
          <w:sz w:val="22"/>
          <w:szCs w:val="22"/>
        </w:rPr>
        <w:t xml:space="preserve">Les élèves avec lesquels nous avons travaillé sont en effet tous dans des classes à examen. </w:t>
      </w:r>
    </w:p>
    <w:p w:rsidR="002F1EDA" w:rsidRDefault="002F1EDA" w:rsidP="002F1EDA">
      <w:pPr>
        <w:pStyle w:val="Contenudetableau"/>
        <w:jc w:val="both"/>
        <w:rPr>
          <w:rFonts w:ascii="DejaVu Sans" w:hAnsi="DejaVu Sans" w:cs="DejaVu Sans"/>
          <w:sz w:val="22"/>
          <w:szCs w:val="22"/>
        </w:rPr>
      </w:pPr>
    </w:p>
    <w:p w:rsidR="00E630B3" w:rsidRPr="004D695E" w:rsidRDefault="00E630B3" w:rsidP="00E630B3">
      <w:pPr>
        <w:pStyle w:val="Contenudetableau"/>
        <w:numPr>
          <w:ilvl w:val="0"/>
          <w:numId w:val="5"/>
        </w:numPr>
        <w:jc w:val="both"/>
        <w:rPr>
          <w:rFonts w:ascii="DejaVu Sans" w:hAnsi="DejaVu Sans" w:cs="DejaVu Sans"/>
          <w:b/>
          <w:sz w:val="22"/>
          <w:szCs w:val="22"/>
          <w:u w:val="single"/>
        </w:rPr>
      </w:pPr>
      <w:r w:rsidRPr="004D695E">
        <w:rPr>
          <w:rFonts w:ascii="DejaVu Sans" w:hAnsi="DejaVu Sans" w:cs="DejaVu Sans"/>
          <w:b/>
          <w:sz w:val="22"/>
          <w:szCs w:val="22"/>
          <w:u w:val="single"/>
        </w:rPr>
        <w:t xml:space="preserve">Progressions </w:t>
      </w:r>
      <w:r w:rsidR="00202FE3" w:rsidRPr="004D695E">
        <w:rPr>
          <w:rFonts w:ascii="DejaVu Sans" w:hAnsi="DejaVu Sans" w:cs="DejaVu Sans"/>
          <w:b/>
          <w:sz w:val="22"/>
          <w:szCs w:val="22"/>
          <w:u w:val="single"/>
        </w:rPr>
        <w:t>envisageables</w:t>
      </w:r>
    </w:p>
    <w:p w:rsidR="001408DF" w:rsidRDefault="00202FE3" w:rsidP="004D695E">
      <w:pPr>
        <w:jc w:val="both"/>
        <w:rPr>
          <w:rFonts w:ascii="DejaVu Sans" w:hAnsi="DejaVu Sans" w:cs="DejaVu Sans"/>
          <w:sz w:val="22"/>
          <w:szCs w:val="22"/>
        </w:rPr>
      </w:pPr>
      <w:r w:rsidRPr="004D695E">
        <w:rPr>
          <w:rFonts w:ascii="DejaVu Sans" w:hAnsi="DejaVu Sans" w:cs="DejaVu Sans"/>
          <w:sz w:val="22"/>
          <w:szCs w:val="22"/>
        </w:rPr>
        <w:t xml:space="preserve">Il faut créer dès le début de l’année un comité restreint d’élèves qui s’impliqueront plus dans la réalisation concrète du journal (mise en ligne des articles, génération de QR code…). </w:t>
      </w:r>
    </w:p>
    <w:p w:rsidR="00A96397" w:rsidRDefault="004D695E" w:rsidP="004D695E">
      <w:pPr>
        <w:jc w:val="both"/>
        <w:rPr>
          <w:rFonts w:ascii="DejaVu Sans" w:hAnsi="DejaVu Sans" w:cs="DejaVu Sans"/>
          <w:sz w:val="22"/>
          <w:szCs w:val="22"/>
        </w:rPr>
      </w:pPr>
      <w:r>
        <w:rPr>
          <w:rFonts w:ascii="DejaVu Sans" w:hAnsi="DejaVu Sans" w:cs="DejaVu Sans"/>
          <w:sz w:val="22"/>
          <w:szCs w:val="22"/>
        </w:rPr>
        <w:t xml:space="preserve">Il est prévu de compléter la compétence sur les sources fiables par une intervention d’une association sur « comment identifier les théories du complot ? ». </w:t>
      </w:r>
    </w:p>
    <w:p w:rsidR="00A96397" w:rsidRDefault="00A96397" w:rsidP="004D695E">
      <w:pPr>
        <w:jc w:val="both"/>
        <w:rPr>
          <w:rFonts w:ascii="DejaVu Sans" w:hAnsi="DejaVu Sans" w:cs="DejaVu Sans"/>
          <w:sz w:val="22"/>
          <w:szCs w:val="22"/>
        </w:rPr>
      </w:pPr>
    </w:p>
    <w:p w:rsidR="00A96397" w:rsidRPr="004D695E" w:rsidRDefault="001C1D89" w:rsidP="004D695E">
      <w:pPr>
        <w:jc w:val="both"/>
        <w:rPr>
          <w:rFonts w:ascii="DejaVu Sans" w:hAnsi="DejaVu Sans" w:cs="DejaVu Sans"/>
          <w:sz w:val="22"/>
          <w:szCs w:val="22"/>
        </w:rPr>
      </w:pPr>
      <w:r>
        <w:rPr>
          <w:noProof/>
          <w:lang w:eastAsia="fr-FR" w:bidi="ar-SA"/>
        </w:rPr>
        <w:drawing>
          <wp:inline distT="0" distB="0" distL="0" distR="0" wp14:anchorId="2D345865" wp14:editId="6B96BEA7">
            <wp:extent cx="6120130" cy="34423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442335"/>
                    </a:xfrm>
                    <a:prstGeom prst="rect">
                      <a:avLst/>
                    </a:prstGeom>
                  </pic:spPr>
                </pic:pic>
              </a:graphicData>
            </a:graphic>
          </wp:inline>
        </w:drawing>
      </w:r>
      <w:bookmarkStart w:id="0" w:name="_GoBack"/>
      <w:bookmarkEnd w:id="0"/>
    </w:p>
    <w:sectPr w:rsidR="00A96397" w:rsidRPr="004D695E">
      <w:pgSz w:w="11906" w:h="16838"/>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altName w:val="Arial Unicode MS"/>
    <w:charset w:val="80"/>
    <w:family w:val="auto"/>
    <w:pitch w:val="variable"/>
  </w:font>
  <w:font w:name="Lohit Hindi">
    <w:altName w:val="Yu Gothic"/>
    <w:charset w:val="80"/>
    <w:family w:val="auto"/>
    <w:pitch w:val="variable"/>
  </w:font>
  <w:font w:name="Arial">
    <w:panose1 w:val="020B0604020202020204"/>
    <w:charset w:val="00"/>
    <w:family w:val="swiss"/>
    <w:pitch w:val="variable"/>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Verdana" w:hAnsi="Verdana" w:cs="StarSymbol"/>
        <w:sz w:val="18"/>
        <w:szCs w:val="18"/>
      </w:rPr>
    </w:lvl>
    <w:lvl w:ilvl="1">
      <w:start w:val="1"/>
      <w:numFmt w:val="bullet"/>
      <w:lvlText w:val="●"/>
      <w:lvlJc w:val="left"/>
      <w:pPr>
        <w:tabs>
          <w:tab w:val="num" w:pos="1080"/>
        </w:tabs>
        <w:ind w:left="1080" w:hanging="360"/>
      </w:pPr>
      <w:rPr>
        <w:rFonts w:ascii="Verdana" w:hAnsi="Verdana"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27372EBF"/>
    <w:multiLevelType w:val="hybridMultilevel"/>
    <w:tmpl w:val="766EC328"/>
    <w:lvl w:ilvl="0" w:tplc="D8AA85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BF7E19"/>
    <w:multiLevelType w:val="hybridMultilevel"/>
    <w:tmpl w:val="C502846A"/>
    <w:lvl w:ilvl="0" w:tplc="926224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A657F8"/>
    <w:multiLevelType w:val="hybridMultilevel"/>
    <w:tmpl w:val="19EE0364"/>
    <w:lvl w:ilvl="0" w:tplc="AAF89A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6A"/>
    <w:rsid w:val="000B15E4"/>
    <w:rsid w:val="001003A6"/>
    <w:rsid w:val="001C1D89"/>
    <w:rsid w:val="00202FE3"/>
    <w:rsid w:val="002672D9"/>
    <w:rsid w:val="002E6B2B"/>
    <w:rsid w:val="002F1EDA"/>
    <w:rsid w:val="004B006C"/>
    <w:rsid w:val="004B5F32"/>
    <w:rsid w:val="004D695E"/>
    <w:rsid w:val="005D3A6F"/>
    <w:rsid w:val="00603042"/>
    <w:rsid w:val="006C34BE"/>
    <w:rsid w:val="006C4469"/>
    <w:rsid w:val="0076454D"/>
    <w:rsid w:val="00766666"/>
    <w:rsid w:val="00793926"/>
    <w:rsid w:val="007A14F3"/>
    <w:rsid w:val="007E3C5D"/>
    <w:rsid w:val="009972BD"/>
    <w:rsid w:val="009C39B9"/>
    <w:rsid w:val="00A618AB"/>
    <w:rsid w:val="00A96397"/>
    <w:rsid w:val="00AC3E69"/>
    <w:rsid w:val="00BD296A"/>
    <w:rsid w:val="00D56B02"/>
    <w:rsid w:val="00D870E7"/>
    <w:rsid w:val="00DA456F"/>
    <w:rsid w:val="00E630B3"/>
    <w:rsid w:val="00EA0562"/>
    <w:rsid w:val="00F058DC"/>
    <w:rsid w:val="00F67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3F99"/>
  <w15:docId w15:val="{5B8A762F-AAE8-4307-A239-8AEFA3A2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96A"/>
    <w:pPr>
      <w:widowControl w:val="0"/>
      <w:suppressAutoHyphens/>
      <w:spacing w:after="0" w:line="240" w:lineRule="auto"/>
    </w:pPr>
    <w:rPr>
      <w:rFonts w:ascii="Times New Roman" w:eastAsia="WenQuanYi Micro Hei" w:hAnsi="Times New Roman" w:cs="Lohit Hindi"/>
      <w:kern w:val="1"/>
      <w:sz w:val="24"/>
      <w:szCs w:val="24"/>
      <w:lang w:eastAsia="zh-CN" w:bidi="hi-IN"/>
    </w:rPr>
  </w:style>
  <w:style w:type="paragraph" w:styleId="Titre1">
    <w:name w:val="heading 1"/>
    <w:basedOn w:val="Normal"/>
    <w:next w:val="Corpsdetexte"/>
    <w:link w:val="Titre1Car"/>
    <w:qFormat/>
    <w:rsid w:val="00BD296A"/>
    <w:pPr>
      <w:keepNext/>
      <w:numPr>
        <w:numId w:val="1"/>
      </w:numPr>
      <w:spacing w:before="240" w:after="120"/>
      <w:outlineLvl w:val="0"/>
    </w:pPr>
    <w:rPr>
      <w:rFonts w:ascii="Arial" w:hAnsi="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96A"/>
    <w:rPr>
      <w:rFonts w:ascii="Arial" w:eastAsia="WenQuanYi Micro Hei" w:hAnsi="Arial" w:cs="Lohit Hindi"/>
      <w:b/>
      <w:bCs/>
      <w:kern w:val="1"/>
      <w:sz w:val="32"/>
      <w:szCs w:val="32"/>
      <w:lang w:eastAsia="zh-CN" w:bidi="hi-IN"/>
    </w:rPr>
  </w:style>
  <w:style w:type="paragraph" w:styleId="Corpsdetexte">
    <w:name w:val="Body Text"/>
    <w:basedOn w:val="Normal"/>
    <w:link w:val="CorpsdetexteCar"/>
    <w:rsid w:val="00BD296A"/>
    <w:pPr>
      <w:spacing w:after="120"/>
    </w:pPr>
  </w:style>
  <w:style w:type="character" w:customStyle="1" w:styleId="CorpsdetexteCar">
    <w:name w:val="Corps de texte Car"/>
    <w:basedOn w:val="Policepardfaut"/>
    <w:link w:val="Corpsdetexte"/>
    <w:rsid w:val="00BD296A"/>
    <w:rPr>
      <w:rFonts w:ascii="Times New Roman" w:eastAsia="WenQuanYi Micro Hei" w:hAnsi="Times New Roman" w:cs="Lohit Hindi"/>
      <w:kern w:val="1"/>
      <w:sz w:val="24"/>
      <w:szCs w:val="24"/>
      <w:lang w:eastAsia="zh-CN" w:bidi="hi-IN"/>
    </w:rPr>
  </w:style>
  <w:style w:type="paragraph" w:customStyle="1" w:styleId="Contenudetableau">
    <w:name w:val="Contenu de tableau"/>
    <w:basedOn w:val="Normal"/>
    <w:rsid w:val="00BD296A"/>
    <w:pPr>
      <w:suppressLineNumbers/>
    </w:pPr>
  </w:style>
  <w:style w:type="character" w:styleId="Lienhypertexte">
    <w:name w:val="Hyperlink"/>
    <w:basedOn w:val="Policepardfaut"/>
    <w:uiPriority w:val="99"/>
    <w:unhideWhenUsed/>
    <w:rsid w:val="00D870E7"/>
    <w:rPr>
      <w:color w:val="CC9900" w:themeColor="hyperlink"/>
      <w:u w:val="single"/>
    </w:rPr>
  </w:style>
  <w:style w:type="character" w:styleId="Mention">
    <w:name w:val="Mention"/>
    <w:basedOn w:val="Policepardfaut"/>
    <w:uiPriority w:val="99"/>
    <w:semiHidden/>
    <w:unhideWhenUsed/>
    <w:rsid w:val="00D870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magz.com/fr/magazine/96929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syham ghemri</cp:lastModifiedBy>
  <cp:revision>8</cp:revision>
  <dcterms:created xsi:type="dcterms:W3CDTF">2017-03-19T21:06:00Z</dcterms:created>
  <dcterms:modified xsi:type="dcterms:W3CDTF">2017-06-23T12:34:00Z</dcterms:modified>
</cp:coreProperties>
</file>